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beforeLines="30" w:line="540" w:lineRule="exact"/>
        <w:jc w:val="center"/>
        <w:rPr>
          <w:rFonts w:ascii="方正小标宋" w:hAnsi="方正小标宋" w:eastAsia="方正小标宋" w:cs="方正小标宋"/>
          <w:b/>
          <w:sz w:val="36"/>
          <w:szCs w:val="36"/>
        </w:rPr>
      </w:pPr>
      <w:bookmarkStart w:id="0" w:name="_Hlk110237838"/>
      <w:r>
        <w:rPr>
          <w:rFonts w:hint="eastAsia" w:ascii="方正小标宋" w:hAnsi="方正小标宋" w:eastAsia="方正小标宋" w:cs="方正小标宋"/>
          <w:b/>
          <w:sz w:val="36"/>
          <w:szCs w:val="36"/>
        </w:rPr>
        <w:t>2022年首批浦东新区博士后创新实践基地</w:t>
      </w:r>
    </w:p>
    <w:p>
      <w:pPr>
        <w:spacing w:before="93" w:beforeLines="30" w:line="540" w:lineRule="exact"/>
        <w:jc w:val="center"/>
        <w:rPr>
          <w:rFonts w:hint="eastAsia" w:ascii="仿宋" w:hAnsi="仿宋" w:eastAsia="方正小标宋" w:cs="仿宋"/>
          <w:b/>
          <w:bCs/>
          <w:sz w:val="36"/>
          <w:szCs w:val="36"/>
          <w:lang w:val="en-US" w:eastAsia="zh-CN"/>
        </w:rPr>
      </w:pPr>
      <w:r>
        <w:rPr>
          <w:rFonts w:hint="eastAsia" w:ascii="方正小标宋" w:hAnsi="方正小标宋" w:eastAsia="方正小标宋" w:cs="方正小标宋"/>
          <w:b/>
          <w:sz w:val="36"/>
          <w:szCs w:val="36"/>
        </w:rPr>
        <w:t>科研项目</w:t>
      </w:r>
      <w:bookmarkStart w:id="1" w:name="_Hlk110209758"/>
      <w:r>
        <w:rPr>
          <w:rFonts w:hint="eastAsia" w:ascii="方正小标宋" w:hAnsi="方正小标宋" w:eastAsia="方正小标宋" w:cs="方正小标宋"/>
          <w:b/>
          <w:sz w:val="36"/>
          <w:szCs w:val="36"/>
        </w:rPr>
        <w:t>“揭榜领题”线上发布会</w:t>
      </w:r>
      <w:bookmarkEnd w:id="1"/>
      <w:r>
        <w:rPr>
          <w:rFonts w:hint="eastAsia" w:ascii="方正小标宋" w:hAnsi="方正小标宋" w:eastAsia="方正小标宋" w:cs="方正小标宋"/>
          <w:b/>
          <w:sz w:val="36"/>
          <w:szCs w:val="36"/>
          <w:highlight w:val="none"/>
          <w:lang w:val="en-US" w:eastAsia="zh-CN"/>
        </w:rPr>
        <w:t>安排</w:t>
      </w:r>
      <w:bookmarkEnd w:id="0"/>
    </w:p>
    <w:p>
      <w:pPr>
        <w:numPr>
          <w:ilvl w:val="0"/>
          <w:numId w:val="1"/>
        </w:numPr>
        <w:spacing w:before="93" w:beforeLines="30" w:line="540" w:lineRule="exact"/>
        <w:rPr>
          <w:rFonts w:ascii="仿宋" w:hAnsi="仿宋" w:eastAsia="仿宋" w:cs="仿宋"/>
          <w:b/>
          <w:bCs/>
          <w:sz w:val="32"/>
          <w:szCs w:val="32"/>
        </w:rPr>
      </w:pPr>
      <w:r>
        <w:rPr>
          <w:rFonts w:hint="eastAsia" w:ascii="仿宋" w:hAnsi="仿宋" w:eastAsia="仿宋" w:cs="仿宋"/>
          <w:b/>
          <w:bCs/>
          <w:sz w:val="32"/>
          <w:szCs w:val="32"/>
          <w:lang w:val="en-US" w:eastAsia="zh-CN"/>
        </w:rPr>
        <w:t>活动</w:t>
      </w:r>
      <w:r>
        <w:rPr>
          <w:rFonts w:hint="eastAsia" w:ascii="仿宋" w:hAnsi="仿宋" w:eastAsia="仿宋" w:cs="仿宋"/>
          <w:b/>
          <w:bCs/>
          <w:sz w:val="32"/>
          <w:szCs w:val="32"/>
        </w:rPr>
        <w:t>安排</w:t>
      </w:r>
    </w:p>
    <w:p>
      <w:pPr>
        <w:spacing w:before="93" w:beforeLines="30" w:line="240" w:lineRule="auto"/>
        <w:ind w:left="630" w:leftChars="300"/>
        <w:rPr>
          <w:rFonts w:ascii="仿宋" w:hAnsi="仿宋" w:eastAsia="仿宋" w:cs="仿宋"/>
          <w:sz w:val="32"/>
          <w:szCs w:val="32"/>
          <w:highlight w:val="none"/>
        </w:rPr>
      </w:pPr>
      <w:r>
        <w:rPr>
          <w:rFonts w:hint="eastAsia" w:ascii="仿宋" w:hAnsi="仿宋" w:eastAsia="仿宋" w:cs="仿宋"/>
          <w:sz w:val="32"/>
          <w:szCs w:val="32"/>
          <w:highlight w:val="none"/>
        </w:rPr>
        <w:t>0</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00</w:t>
      </w:r>
      <w:r>
        <w:rPr>
          <w:rFonts w:ascii="仿宋" w:hAnsi="仿宋" w:eastAsia="仿宋" w:cs="仿宋"/>
          <w:sz w:val="32"/>
          <w:szCs w:val="32"/>
          <w:highlight w:val="none"/>
        </w:rPr>
        <w:t>-0</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15</w:t>
      </w:r>
      <w:r>
        <w:rPr>
          <w:rFonts w:ascii="仿宋" w:hAnsi="仿宋" w:eastAsia="仿宋" w:cs="仿宋"/>
          <w:sz w:val="32"/>
          <w:szCs w:val="32"/>
          <w:highlight w:val="none"/>
        </w:rPr>
        <w:t xml:space="preserve">  </w:t>
      </w:r>
      <w:r>
        <w:rPr>
          <w:rFonts w:hint="eastAsia" w:ascii="仿宋" w:hAnsi="仿宋" w:eastAsia="仿宋" w:cs="仿宋"/>
          <w:sz w:val="32"/>
          <w:szCs w:val="32"/>
          <w:highlight w:val="none"/>
        </w:rPr>
        <w:t>项目对接规则宣讲</w:t>
      </w:r>
    </w:p>
    <w:p>
      <w:pPr>
        <w:spacing w:line="240" w:lineRule="auto"/>
        <w:ind w:firstLine="640" w:firstLineChars="200"/>
        <w:rPr>
          <w:rFonts w:hint="eastAsia" w:ascii="仿宋" w:hAnsi="仿宋" w:eastAsia="仿宋" w:cs="仿宋"/>
          <w:sz w:val="32"/>
          <w:szCs w:val="32"/>
        </w:rPr>
      </w:pPr>
      <w:r>
        <w:rPr>
          <w:rFonts w:ascii="仿宋" w:hAnsi="仿宋" w:eastAsia="仿宋" w:cs="仿宋"/>
          <w:sz w:val="32"/>
          <w:szCs w:val="32"/>
        </w:rPr>
        <w:t>0</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15</w:t>
      </w: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hint="eastAsia" w:ascii="仿宋" w:hAnsi="仿宋" w:eastAsia="仿宋" w:cs="仿宋"/>
          <w:sz w:val="32"/>
          <w:szCs w:val="32"/>
        </w:rPr>
        <w:t>:</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  信息材料专场</w:t>
      </w:r>
    </w:p>
    <w:p>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1</w:t>
      </w:r>
      <w:r>
        <w:rPr>
          <w:rFonts w:ascii="仿宋" w:hAnsi="仿宋" w:eastAsia="仿宋" w:cs="仿宋"/>
          <w:sz w:val="32"/>
          <w:szCs w:val="32"/>
        </w:rPr>
        <w:t>:</w:t>
      </w:r>
      <w:r>
        <w:rPr>
          <w:rFonts w:hint="eastAsia" w:ascii="仿宋" w:hAnsi="仿宋" w:eastAsia="仿宋" w:cs="仿宋"/>
          <w:sz w:val="32"/>
          <w:szCs w:val="32"/>
          <w:lang w:val="en-US" w:eastAsia="zh-CN"/>
        </w:rPr>
        <w:t>30</w:t>
      </w:r>
      <w:r>
        <w:rPr>
          <w:rFonts w:ascii="仿宋" w:hAnsi="仿宋" w:eastAsia="仿宋" w:cs="仿宋"/>
          <w:sz w:val="32"/>
          <w:szCs w:val="32"/>
        </w:rPr>
        <w:t>-13:0</w:t>
      </w:r>
      <w:r>
        <w:rPr>
          <w:rFonts w:hint="eastAsia" w:ascii="仿宋" w:hAnsi="仿宋" w:eastAsia="仿宋" w:cs="仿宋"/>
          <w:sz w:val="32"/>
          <w:szCs w:val="32"/>
          <w:lang w:val="en-US" w:eastAsia="zh-CN"/>
        </w:rPr>
        <w:t>0</w:t>
      </w:r>
      <w:r>
        <w:rPr>
          <w:rFonts w:ascii="仿宋" w:hAnsi="仿宋" w:eastAsia="仿宋" w:cs="仿宋"/>
          <w:sz w:val="32"/>
          <w:szCs w:val="32"/>
        </w:rPr>
        <w:t xml:space="preserve">  </w:t>
      </w:r>
      <w:r>
        <w:rPr>
          <w:rFonts w:hint="eastAsia" w:ascii="仿宋" w:hAnsi="仿宋" w:eastAsia="仿宋" w:cs="仿宋"/>
          <w:sz w:val="32"/>
          <w:szCs w:val="32"/>
        </w:rPr>
        <w:t>休息</w:t>
      </w:r>
    </w:p>
    <w:p>
      <w:pPr>
        <w:spacing w:line="24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00</w:t>
      </w:r>
      <w:r>
        <w:rPr>
          <w:rFonts w:ascii="仿宋" w:hAnsi="仿宋" w:eastAsia="仿宋" w:cs="仿宋"/>
          <w:sz w:val="32"/>
          <w:szCs w:val="32"/>
          <w:highlight w:val="none"/>
        </w:rPr>
        <w:t>-</w:t>
      </w: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15</w:t>
      </w:r>
      <w:r>
        <w:rPr>
          <w:rFonts w:ascii="仿宋" w:hAnsi="仿宋" w:eastAsia="仿宋" w:cs="仿宋"/>
          <w:sz w:val="32"/>
          <w:szCs w:val="32"/>
          <w:highlight w:val="none"/>
        </w:rPr>
        <w:t xml:space="preserve">  </w:t>
      </w:r>
      <w:r>
        <w:rPr>
          <w:rFonts w:hint="eastAsia" w:ascii="仿宋" w:hAnsi="仿宋" w:eastAsia="仿宋" w:cs="仿宋"/>
          <w:sz w:val="32"/>
          <w:szCs w:val="32"/>
          <w:highlight w:val="none"/>
        </w:rPr>
        <w:t>项目对接规则宣讲</w:t>
      </w:r>
    </w:p>
    <w:p>
      <w:pPr>
        <w:spacing w:line="240" w:lineRule="auto"/>
        <w:ind w:firstLine="640" w:firstLineChars="200"/>
        <w:rPr>
          <w:rFonts w:ascii="仿宋" w:hAnsi="仿宋" w:eastAsia="仿宋" w:cs="仿宋"/>
          <w:sz w:val="32"/>
          <w:szCs w:val="32"/>
        </w:rPr>
      </w:pPr>
      <w:r>
        <w:rPr>
          <w:rFonts w:hint="eastAsia" w:ascii="仿宋" w:hAnsi="仿宋" w:eastAsia="仿宋" w:cs="仿宋"/>
          <w:sz w:val="32"/>
          <w:szCs w:val="32"/>
        </w:rPr>
        <w:t>1</w:t>
      </w:r>
      <w:r>
        <w:rPr>
          <w:rFonts w:ascii="仿宋" w:hAnsi="仿宋" w:eastAsia="仿宋" w:cs="仿宋"/>
          <w:sz w:val="32"/>
          <w:szCs w:val="32"/>
        </w:rPr>
        <w:t>3</w:t>
      </w:r>
      <w:r>
        <w:rPr>
          <w:rFonts w:hint="eastAsia" w:ascii="仿宋" w:hAnsi="仿宋" w:eastAsia="仿宋" w:cs="仿宋"/>
          <w:sz w:val="32"/>
          <w:szCs w:val="32"/>
        </w:rPr>
        <w:t>:</w:t>
      </w:r>
      <w:r>
        <w:rPr>
          <w:rFonts w:hint="eastAsia" w:ascii="仿宋" w:hAnsi="仿宋" w:eastAsia="仿宋" w:cs="仿宋"/>
          <w:sz w:val="32"/>
          <w:szCs w:val="32"/>
          <w:lang w:val="en-US" w:eastAsia="zh-CN"/>
        </w:rPr>
        <w:t>15</w:t>
      </w:r>
      <w:r>
        <w:rPr>
          <w:rFonts w:hint="eastAsia" w:ascii="仿宋" w:hAnsi="仿宋" w:eastAsia="仿宋" w:cs="仿宋"/>
          <w:sz w:val="32"/>
          <w:szCs w:val="32"/>
        </w:rPr>
        <w:t>-1</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55</w:t>
      </w:r>
      <w:r>
        <w:rPr>
          <w:rFonts w:hint="eastAsia" w:ascii="仿宋" w:hAnsi="仿宋" w:eastAsia="仿宋" w:cs="仿宋"/>
          <w:sz w:val="32"/>
          <w:szCs w:val="32"/>
        </w:rPr>
        <w:t xml:space="preserve">  生物医药专场</w:t>
      </w:r>
    </w:p>
    <w:p>
      <w:pPr>
        <w:numPr>
          <w:ilvl w:val="0"/>
          <w:numId w:val="1"/>
        </w:numPr>
        <w:spacing w:before="93" w:beforeLines="30" w:line="540" w:lineRule="exact"/>
        <w:rPr>
          <w:rFonts w:hint="eastAsia" w:ascii="仿宋" w:hAnsi="仿宋" w:eastAsia="仿宋" w:cs="仿宋"/>
          <w:b/>
          <w:bCs/>
          <w:sz w:val="28"/>
          <w:szCs w:val="28"/>
        </w:rPr>
      </w:pPr>
      <w:r>
        <w:rPr>
          <w:rFonts w:hint="eastAsia" w:ascii="仿宋" w:hAnsi="仿宋" w:eastAsia="仿宋" w:cs="仿宋"/>
          <w:b/>
          <w:bCs/>
          <w:sz w:val="32"/>
          <w:szCs w:val="32"/>
          <w:lang w:val="en-US" w:eastAsia="zh-CN"/>
        </w:rPr>
        <w:t>发布顺序</w:t>
      </w:r>
    </w:p>
    <w:p>
      <w:pPr>
        <w:keepNext w:val="0"/>
        <w:keepLines w:val="0"/>
        <w:pageBreakBefore w:val="0"/>
        <w:widowControl w:val="0"/>
        <w:numPr>
          <w:ilvl w:val="0"/>
          <w:numId w:val="0"/>
        </w:numPr>
        <w:kinsoku/>
        <w:wordWrap/>
        <w:overflowPunct/>
        <w:topLinePunct w:val="0"/>
        <w:autoSpaceDE/>
        <w:autoSpaceDN/>
        <w:bidi w:val="0"/>
        <w:adjustRightInd/>
        <w:snapToGrid/>
        <w:spacing w:before="93" w:beforeLines="30" w:line="200" w:lineRule="exact"/>
        <w:ind w:leftChars="0"/>
        <w:textAlignment w:val="auto"/>
        <w:rPr>
          <w:rFonts w:hint="eastAsia" w:ascii="仿宋" w:hAnsi="仿宋" w:eastAsia="仿宋" w:cs="仿宋"/>
          <w:b/>
          <w:bCs/>
          <w:sz w:val="28"/>
          <w:szCs w:val="28"/>
        </w:rPr>
      </w:pPr>
    </w:p>
    <w:tbl>
      <w:tblPr>
        <w:tblStyle w:val="5"/>
        <w:tblW w:w="9628" w:type="dxa"/>
        <w:tblInd w:w="-296" w:type="dxa"/>
        <w:shd w:val="clear" w:color="auto" w:fill="auto"/>
        <w:tblLayout w:type="fixed"/>
        <w:tblCellMar>
          <w:top w:w="0" w:type="dxa"/>
          <w:left w:w="108" w:type="dxa"/>
          <w:bottom w:w="0" w:type="dxa"/>
          <w:right w:w="108" w:type="dxa"/>
        </w:tblCellMar>
      </w:tblPr>
      <w:tblGrid>
        <w:gridCol w:w="847"/>
        <w:gridCol w:w="1438"/>
        <w:gridCol w:w="2057"/>
        <w:gridCol w:w="5286"/>
      </w:tblGrid>
      <w:tr>
        <w:tblPrEx>
          <w:shd w:val="clear" w:color="auto" w:fill="auto"/>
          <w:tblCellMar>
            <w:top w:w="0" w:type="dxa"/>
            <w:left w:w="108" w:type="dxa"/>
            <w:bottom w:w="0" w:type="dxa"/>
            <w:right w:w="108" w:type="dxa"/>
          </w:tblCellMar>
        </w:tblPrEx>
        <w:trPr>
          <w:trHeight w:val="368" w:hRule="atLeast"/>
          <w:tblHeader/>
        </w:trPr>
        <w:tc>
          <w:tcPr>
            <w:tcW w:w="847" w:type="dxa"/>
            <w:tcBorders>
              <w:top w:val="single" w:color="000000" w:sz="4" w:space="0"/>
              <w:left w:val="single" w:color="000000" w:sz="4" w:space="0"/>
              <w:bottom w:val="nil"/>
              <w:right w:val="single" w:color="000000" w:sz="4" w:space="0"/>
            </w:tcBorders>
            <w:shd w:val="clear" w:color="auto" w:fill="D9D9D9"/>
            <w:noWrap/>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8"/>
                <w:szCs w:val="28"/>
                <w:u w:val="none"/>
              </w:rPr>
            </w:pPr>
            <w:bookmarkStart w:id="2" w:name="OLE_LINK1" w:colFirst="2" w:colLast="2"/>
            <w:r>
              <w:rPr>
                <w:rFonts w:hint="default" w:ascii="仿宋_GB2312" w:hAnsi="宋体" w:eastAsia="仿宋_GB2312" w:cs="仿宋_GB2312"/>
                <w:b/>
                <w:bCs/>
                <w:i w:val="0"/>
                <w:iCs w:val="0"/>
                <w:color w:val="000000"/>
                <w:kern w:val="0"/>
                <w:sz w:val="28"/>
                <w:szCs w:val="28"/>
                <w:u w:val="none"/>
                <w:lang w:val="en-US" w:eastAsia="zh-CN" w:bidi="ar"/>
              </w:rPr>
              <w:t>序号</w:t>
            </w:r>
          </w:p>
        </w:tc>
        <w:tc>
          <w:tcPr>
            <w:tcW w:w="1438" w:type="dxa"/>
            <w:tcBorders>
              <w:top w:val="single" w:color="000000" w:sz="4" w:space="0"/>
              <w:left w:val="single" w:color="000000" w:sz="4" w:space="0"/>
              <w:bottom w:val="nil"/>
              <w:right w:val="single" w:color="000000" w:sz="4" w:space="0"/>
            </w:tcBorders>
            <w:shd w:val="clear" w:color="auto" w:fill="D9D9D9"/>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8"/>
                <w:szCs w:val="28"/>
                <w:u w:val="none"/>
              </w:rPr>
            </w:pPr>
            <w:r>
              <w:rPr>
                <w:rFonts w:hint="default" w:ascii="仿宋_GB2312" w:hAnsi="宋体" w:eastAsia="仿宋_GB2312" w:cs="仿宋_GB2312"/>
                <w:b/>
                <w:bCs/>
                <w:i w:val="0"/>
                <w:iCs w:val="0"/>
                <w:color w:val="000000"/>
                <w:kern w:val="0"/>
                <w:sz w:val="28"/>
                <w:szCs w:val="28"/>
                <w:u w:val="none"/>
                <w:lang w:val="en-US" w:eastAsia="zh-CN" w:bidi="ar"/>
              </w:rPr>
              <w:t>时间</w:t>
            </w:r>
          </w:p>
        </w:tc>
        <w:tc>
          <w:tcPr>
            <w:tcW w:w="2057" w:type="dxa"/>
            <w:tcBorders>
              <w:top w:val="single" w:color="000000" w:sz="4" w:space="0"/>
              <w:left w:val="single" w:color="000000" w:sz="4" w:space="0"/>
              <w:bottom w:val="single" w:color="000000" w:sz="4" w:space="0"/>
              <w:right w:val="single" w:color="000000" w:sz="4" w:space="0"/>
            </w:tcBorders>
            <w:shd w:val="clear" w:color="auto" w:fill="D9D9D9"/>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8"/>
                <w:szCs w:val="28"/>
                <w:u w:val="none"/>
              </w:rPr>
            </w:pPr>
            <w:r>
              <w:rPr>
                <w:rFonts w:hint="default" w:ascii="仿宋_GB2312" w:hAnsi="宋体" w:eastAsia="仿宋_GB2312" w:cs="仿宋_GB2312"/>
                <w:b/>
                <w:bCs/>
                <w:i w:val="0"/>
                <w:iCs w:val="0"/>
                <w:color w:val="000000"/>
                <w:kern w:val="0"/>
                <w:sz w:val="28"/>
                <w:szCs w:val="28"/>
                <w:u w:val="none"/>
                <w:lang w:val="en-US" w:eastAsia="zh-CN" w:bidi="ar"/>
              </w:rPr>
              <w:t>企业名称</w:t>
            </w:r>
          </w:p>
        </w:tc>
        <w:tc>
          <w:tcPr>
            <w:tcW w:w="5286" w:type="dxa"/>
            <w:tcBorders>
              <w:top w:val="single" w:color="000000" w:sz="4" w:space="0"/>
              <w:left w:val="single" w:color="000000" w:sz="4" w:space="0"/>
              <w:bottom w:val="single" w:color="000000" w:sz="4" w:space="0"/>
              <w:right w:val="single" w:color="000000" w:sz="4" w:space="0"/>
            </w:tcBorders>
            <w:shd w:val="clear" w:color="auto" w:fill="D9D9D9"/>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8"/>
                <w:szCs w:val="28"/>
                <w:u w:val="none"/>
              </w:rPr>
            </w:pPr>
            <w:r>
              <w:rPr>
                <w:rFonts w:hint="default" w:ascii="仿宋_GB2312" w:hAnsi="宋体" w:eastAsia="仿宋_GB2312" w:cs="仿宋_GB2312"/>
                <w:b/>
                <w:bCs/>
                <w:i w:val="0"/>
                <w:iCs w:val="0"/>
                <w:color w:val="000000"/>
                <w:kern w:val="0"/>
                <w:sz w:val="28"/>
                <w:szCs w:val="28"/>
                <w:u w:val="none"/>
                <w:lang w:val="en-US" w:eastAsia="zh-CN" w:bidi="ar"/>
              </w:rPr>
              <w:t>项目名称</w:t>
            </w:r>
          </w:p>
        </w:tc>
      </w:tr>
      <w:tr>
        <w:tblPrEx>
          <w:shd w:val="clear" w:color="auto" w:fill="auto"/>
          <w:tblCellMar>
            <w:top w:w="0" w:type="dxa"/>
            <w:left w:w="108" w:type="dxa"/>
            <w:bottom w:w="0" w:type="dxa"/>
            <w:right w:w="108" w:type="dxa"/>
          </w:tblCellMar>
        </w:tblPrEx>
        <w:trPr>
          <w:trHeight w:val="300" w:hRule="atLeast"/>
        </w:trPr>
        <w:tc>
          <w:tcPr>
            <w:tcW w:w="2285"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09:00-09:15 </w:t>
            </w:r>
          </w:p>
        </w:tc>
        <w:tc>
          <w:tcPr>
            <w:tcW w:w="7343" w:type="dxa"/>
            <w:gridSpan w:val="2"/>
            <w:tcBorders>
              <w:top w:val="single" w:color="000000" w:sz="4" w:space="0"/>
              <w:left w:val="nil"/>
              <w:bottom w:val="single" w:color="auto"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项目对接规则宣讲</w:t>
            </w:r>
          </w:p>
        </w:tc>
      </w:tr>
      <w:tr>
        <w:tblPrEx>
          <w:shd w:val="clear" w:color="auto" w:fill="auto"/>
          <w:tblCellMar>
            <w:top w:w="0" w:type="dxa"/>
            <w:left w:w="108" w:type="dxa"/>
            <w:bottom w:w="0" w:type="dxa"/>
            <w:right w:w="108" w:type="dxa"/>
          </w:tblCellMar>
        </w:tblPrEx>
        <w:trPr>
          <w:trHeight w:val="566" w:hRule="atLeast"/>
        </w:trPr>
        <w:tc>
          <w:tcPr>
            <w:tcW w:w="847"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438" w:type="dxa"/>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09:15-09:30</w:t>
            </w:r>
          </w:p>
        </w:tc>
        <w:tc>
          <w:tcPr>
            <w:tcW w:w="2057" w:type="dxa"/>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赛默飞世尔（上海）仪器有限公司</w:t>
            </w:r>
          </w:p>
        </w:tc>
        <w:tc>
          <w:tcPr>
            <w:tcW w:w="5286" w:type="dxa"/>
            <w:tcBorders>
              <w:top w:val="single" w:color="auto"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用于化学成分分析或细胞特征分析的</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微流体芯片技术研究</w:t>
            </w:r>
          </w:p>
        </w:tc>
      </w:tr>
      <w:tr>
        <w:tblPrEx>
          <w:shd w:val="clear" w:color="auto" w:fill="auto"/>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自由曲面光学镜头和凹面光栅组装的</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高效装配工艺技术研究</w:t>
            </w:r>
          </w:p>
        </w:tc>
      </w:tr>
      <w:tr>
        <w:tblPrEx>
          <w:tblCellMar>
            <w:top w:w="0" w:type="dxa"/>
            <w:left w:w="108" w:type="dxa"/>
            <w:bottom w:w="0" w:type="dxa"/>
            <w:right w:w="108" w:type="dxa"/>
          </w:tblCellMar>
        </w:tblPrEx>
        <w:trPr>
          <w:trHeight w:val="566"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09:30-09:45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上海城建城市运营（集团）有限公司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数字驱动的交通基础设施全生命周期</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韧性运营关键技术及应用研究</w:t>
            </w:r>
          </w:p>
        </w:tc>
      </w:tr>
      <w:tr>
        <w:tblPrEx>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新基建下智慧高速建设关键技术及应用研究</w:t>
            </w:r>
          </w:p>
        </w:tc>
      </w:tr>
      <w:tr>
        <w:tblPrEx>
          <w:tblCellMar>
            <w:top w:w="0" w:type="dxa"/>
            <w:left w:w="108" w:type="dxa"/>
            <w:bottom w:w="0" w:type="dxa"/>
            <w:right w:w="108" w:type="dxa"/>
          </w:tblCellMar>
        </w:tblPrEx>
        <w:trPr>
          <w:trHeight w:val="566"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09:45-10:05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上海船舶研究</w:t>
            </w:r>
          </w:p>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设计院</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复杂营运环境下船舶多源异构感知信息融合技术研究</w:t>
            </w:r>
          </w:p>
        </w:tc>
      </w:tr>
      <w:tr>
        <w:tblPrEx>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实尺度船舶快速性能预报研究</w:t>
            </w:r>
          </w:p>
        </w:tc>
      </w:tr>
      <w:tr>
        <w:tblPrEx>
          <w:shd w:val="clear" w:color="auto" w:fill="auto"/>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极地高冰级船舶线型开发</w:t>
            </w:r>
          </w:p>
        </w:tc>
      </w:tr>
      <w:tr>
        <w:tblPrEx>
          <w:shd w:val="clear" w:color="auto" w:fill="auto"/>
          <w:tblCellMar>
            <w:top w:w="0" w:type="dxa"/>
            <w:left w:w="108" w:type="dxa"/>
            <w:bottom w:w="0" w:type="dxa"/>
            <w:right w:w="108" w:type="dxa"/>
          </w:tblCellMar>
        </w:tblPrEx>
        <w:trPr>
          <w:trHeight w:val="283"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10:05-10:20</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上海擎朗智能科技有限公司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室内服务机器人大场景三维重建与感知</w:t>
            </w:r>
          </w:p>
        </w:tc>
      </w:tr>
      <w:tr>
        <w:tblPrEx>
          <w:shd w:val="clear" w:color="auto" w:fill="auto"/>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基于显著性目标检测的数据标注方法研究</w:t>
            </w:r>
          </w:p>
        </w:tc>
      </w:tr>
      <w:tr>
        <w:tblPrEx>
          <w:tblCellMar>
            <w:top w:w="0" w:type="dxa"/>
            <w:left w:w="108" w:type="dxa"/>
            <w:bottom w:w="0" w:type="dxa"/>
            <w:right w:w="108" w:type="dxa"/>
          </w:tblCellMar>
        </w:tblPrEx>
        <w:trPr>
          <w:trHeight w:val="566"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10:20-10:35</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上海睿聚环保科技有限公司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一次性外卖餐盒高值创新回收再生方案之</w:t>
            </w:r>
          </w:p>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高品质再生塑料颗粒高值应用开发</w:t>
            </w:r>
          </w:p>
        </w:tc>
      </w:tr>
      <w:tr>
        <w:tblPrEx>
          <w:shd w:val="clear" w:color="auto" w:fill="auto"/>
          <w:tblCellMar>
            <w:top w:w="0" w:type="dxa"/>
            <w:left w:w="108" w:type="dxa"/>
            <w:bottom w:w="0" w:type="dxa"/>
            <w:right w:w="108" w:type="dxa"/>
          </w:tblCellMar>
        </w:tblPrEx>
        <w:trPr>
          <w:trHeight w:val="566"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10:35-10:55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上海山南勘测设计有限公司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中心城区地下复杂管线及地下隐患探测方法技术研究</w:t>
            </w:r>
          </w:p>
        </w:tc>
      </w:tr>
      <w:tr>
        <w:tblPrEx>
          <w:shd w:val="clear" w:color="auto" w:fill="auto"/>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低渗透地层原位机械强化/表面增溶耦合-氧化/还原协同修复技术与装备研究</w:t>
            </w:r>
          </w:p>
        </w:tc>
      </w:tr>
      <w:tr>
        <w:tblPrEx>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城市地下空间基础设施及结构数据孪生平台建设研究</w:t>
            </w:r>
          </w:p>
        </w:tc>
      </w:tr>
      <w:tr>
        <w:tblPrEx>
          <w:tblCellMar>
            <w:top w:w="0" w:type="dxa"/>
            <w:left w:w="108" w:type="dxa"/>
            <w:bottom w:w="0" w:type="dxa"/>
            <w:right w:w="108" w:type="dxa"/>
          </w:tblCellMar>
        </w:tblPrEx>
        <w:trPr>
          <w:trHeight w:val="283"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10:55-11:10</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纵目科技（上海）股份有限公司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分布式高超分辨毫米波雷达技术研究</w:t>
            </w:r>
          </w:p>
        </w:tc>
      </w:tr>
      <w:tr>
        <w:tblPrEx>
          <w:shd w:val="clear" w:color="auto" w:fill="auto"/>
          <w:tblCellMar>
            <w:top w:w="0" w:type="dxa"/>
            <w:left w:w="108" w:type="dxa"/>
            <w:bottom w:w="0" w:type="dxa"/>
            <w:right w:w="108" w:type="dxa"/>
          </w:tblCellMar>
        </w:tblPrEx>
        <w:trPr>
          <w:trHeight w:val="283"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43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11:10-11:30</w:t>
            </w:r>
          </w:p>
        </w:tc>
        <w:tc>
          <w:tcPr>
            <w:tcW w:w="205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万得信息技术股份有限公司</w:t>
            </w: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金融领域隐私计算方法研究</w:t>
            </w:r>
          </w:p>
        </w:tc>
      </w:tr>
      <w:tr>
        <w:tblPrEx>
          <w:shd w:val="clear" w:color="auto" w:fill="auto"/>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基于知识图谱技术的企业竞争对手关系发现</w:t>
            </w:r>
          </w:p>
        </w:tc>
      </w:tr>
      <w:tr>
        <w:tblPrEx>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基于金融知识的问答型对话模型研究</w:t>
            </w:r>
          </w:p>
        </w:tc>
      </w:tr>
      <w:tr>
        <w:tblPrEx>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基于无监督学习的金融领域语音识别模型研究</w:t>
            </w:r>
          </w:p>
        </w:tc>
      </w:tr>
      <w:tr>
        <w:tblPrEx>
          <w:shd w:val="clear" w:color="auto" w:fill="auto"/>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nil"/>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基于对抗学习的验证码图像生成技术</w:t>
            </w:r>
          </w:p>
        </w:tc>
      </w:tr>
      <w:tr>
        <w:tblPrEx>
          <w:shd w:val="clear" w:color="auto" w:fill="auto"/>
          <w:tblCellMar>
            <w:top w:w="0" w:type="dxa"/>
            <w:left w:w="108" w:type="dxa"/>
            <w:bottom w:w="0" w:type="dxa"/>
            <w:right w:w="108" w:type="dxa"/>
          </w:tblCellMar>
        </w:tblPrEx>
        <w:trPr>
          <w:trHeight w:val="300" w:hRule="atLeast"/>
        </w:trPr>
        <w:tc>
          <w:tcPr>
            <w:tcW w:w="2285" w:type="dxa"/>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80" w:lineRule="auto"/>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11:30-13:00</w:t>
            </w:r>
          </w:p>
        </w:tc>
        <w:tc>
          <w:tcPr>
            <w:tcW w:w="7343" w:type="dxa"/>
            <w:gridSpan w:val="2"/>
            <w:tcBorders>
              <w:top w:val="single" w:color="000000" w:sz="4" w:space="0"/>
              <w:left w:val="nil"/>
              <w:bottom w:val="nil"/>
              <w:right w:val="single" w:color="auto" w:sz="4" w:space="0"/>
            </w:tcBorders>
            <w:shd w:val="clear" w:color="auto" w:fill="auto"/>
            <w:noWrap/>
            <w:vAlign w:val="center"/>
          </w:tcPr>
          <w:p>
            <w:pPr>
              <w:keepNext w:val="0"/>
              <w:keepLines w:val="0"/>
              <w:widowControl/>
              <w:suppressLineNumbers w:val="0"/>
              <w:spacing w:line="48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休息</w:t>
            </w:r>
          </w:p>
        </w:tc>
      </w:tr>
      <w:tr>
        <w:tblPrEx>
          <w:tblCellMar>
            <w:top w:w="0" w:type="dxa"/>
            <w:left w:w="108" w:type="dxa"/>
            <w:bottom w:w="0" w:type="dxa"/>
            <w:right w:w="108" w:type="dxa"/>
          </w:tblCellMar>
        </w:tblPrEx>
        <w:trPr>
          <w:trHeight w:val="300" w:hRule="atLeast"/>
        </w:trPr>
        <w:tc>
          <w:tcPr>
            <w:tcW w:w="2285" w:type="dxa"/>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80" w:lineRule="auto"/>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13:00-13:15</w:t>
            </w:r>
          </w:p>
        </w:tc>
        <w:tc>
          <w:tcPr>
            <w:tcW w:w="7343" w:type="dxa"/>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spacing w:line="48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项目对接规则宣讲</w:t>
            </w:r>
          </w:p>
        </w:tc>
      </w:tr>
      <w:tr>
        <w:tblPrEx>
          <w:shd w:val="clear" w:color="auto" w:fill="auto"/>
          <w:tblCellMar>
            <w:top w:w="0" w:type="dxa"/>
            <w:left w:w="108" w:type="dxa"/>
            <w:bottom w:w="0" w:type="dxa"/>
            <w:right w:w="108" w:type="dxa"/>
          </w:tblCellMar>
        </w:tblPrEx>
        <w:trPr>
          <w:trHeight w:val="283"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13:15-13:35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安利（上海）科技发展有限公司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植物功能成分与健康研究</w:t>
            </w:r>
          </w:p>
        </w:tc>
      </w:tr>
      <w:tr>
        <w:tblPrEx>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人群个性化营养及健康大数据分析研究</w:t>
            </w:r>
          </w:p>
        </w:tc>
      </w:tr>
      <w:tr>
        <w:tblPrEx>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不同中医体质疗效评价量表和调体产品功效验证研究</w:t>
            </w:r>
          </w:p>
        </w:tc>
      </w:tr>
      <w:tr>
        <w:tblPrEx>
          <w:shd w:val="clear" w:color="auto" w:fill="auto"/>
          <w:tblCellMar>
            <w:top w:w="0" w:type="dxa"/>
            <w:left w:w="108" w:type="dxa"/>
            <w:bottom w:w="0" w:type="dxa"/>
            <w:right w:w="108" w:type="dxa"/>
          </w:tblCellMar>
        </w:tblPrEx>
        <w:trPr>
          <w:trHeight w:val="849"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13:35-13:50</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上海岸迈生物科技有限公司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新型肿瘤免疫调节性多特异性抗体的临床前研发-</w:t>
            </w:r>
          </w:p>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新一代巨噬细胞免疫调节多特异性抗体的临床前研发</w:t>
            </w:r>
          </w:p>
        </w:tc>
      </w:tr>
      <w:tr>
        <w:tblPrEx>
          <w:tblCellMar>
            <w:top w:w="0" w:type="dxa"/>
            <w:left w:w="108" w:type="dxa"/>
            <w:bottom w:w="0" w:type="dxa"/>
            <w:right w:w="108" w:type="dxa"/>
          </w:tblCellMar>
        </w:tblPrEx>
        <w:trPr>
          <w:trHeight w:val="566"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13:50-14:05</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上海博志研新药物技术有限公司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一种基于生物可降解材料的口服长效制剂研发</w:t>
            </w:r>
          </w:p>
        </w:tc>
      </w:tr>
      <w:tr>
        <w:tblPrEx>
          <w:shd w:val="clear" w:color="auto" w:fill="auto"/>
          <w:tblCellMar>
            <w:top w:w="0" w:type="dxa"/>
            <w:left w:w="108" w:type="dxa"/>
            <w:bottom w:w="0" w:type="dxa"/>
            <w:right w:w="108" w:type="dxa"/>
          </w:tblCellMar>
        </w:tblPrEx>
        <w:trPr>
          <w:trHeight w:val="566"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4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14:05-14:20</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上海丹贝医学科技有限公司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游离DNA甲基化在卵巢癌早期辅助诊断中的应用</w:t>
            </w:r>
          </w:p>
        </w:tc>
      </w:tr>
      <w:tr>
        <w:tblPrEx>
          <w:shd w:val="clear" w:color="auto" w:fill="auto"/>
          <w:tblCellMar>
            <w:top w:w="0" w:type="dxa"/>
            <w:left w:w="108" w:type="dxa"/>
            <w:bottom w:w="0" w:type="dxa"/>
            <w:right w:w="108" w:type="dxa"/>
          </w:tblCellMar>
        </w:tblPrEx>
        <w:trPr>
          <w:trHeight w:val="566"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14:20-14:35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上海导向医疗系统有限公司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微创肿瘤适形冷冻消融系统-子课题：</w:t>
            </w:r>
          </w:p>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肺部肿瘤冷冻消融范围计划系统</w:t>
            </w:r>
          </w:p>
        </w:tc>
      </w:tr>
      <w:tr>
        <w:tblPrEx>
          <w:tblCellMar>
            <w:top w:w="0" w:type="dxa"/>
            <w:left w:w="108" w:type="dxa"/>
            <w:bottom w:w="0" w:type="dxa"/>
            <w:right w:w="108" w:type="dxa"/>
          </w:tblCellMar>
        </w:tblPrEx>
        <w:trPr>
          <w:trHeight w:val="283"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肺部肿瘤经皮自动穿刺导航机器人系统</w:t>
            </w:r>
          </w:p>
        </w:tc>
      </w:tr>
      <w:tr>
        <w:tblPrEx>
          <w:tblCellMar>
            <w:top w:w="0" w:type="dxa"/>
            <w:left w:w="108" w:type="dxa"/>
            <w:bottom w:w="0" w:type="dxa"/>
            <w:right w:w="108" w:type="dxa"/>
          </w:tblCellMar>
        </w:tblPrEx>
        <w:trPr>
          <w:trHeight w:val="283" w:hRule="atLeast"/>
        </w:trPr>
        <w:tc>
          <w:tcPr>
            <w:tcW w:w="84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14:35-14:50</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上海格诺生物科技有限公司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基于外泌体的肿瘤免疫治疗伴随诊断研究</w:t>
            </w:r>
          </w:p>
        </w:tc>
      </w:tr>
      <w:tr>
        <w:tblPrEx>
          <w:shd w:val="clear" w:color="auto" w:fill="auto"/>
          <w:tblCellMar>
            <w:top w:w="0" w:type="dxa"/>
            <w:left w:w="108" w:type="dxa"/>
            <w:bottom w:w="0" w:type="dxa"/>
            <w:right w:w="108" w:type="dxa"/>
          </w:tblCellMar>
        </w:tblPrEx>
        <w:trPr>
          <w:trHeight w:val="566"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14:50-15:05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上海海和药物研究开发股份有限公司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BD2选择性BET抑制剂HH3806在</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实体瘤的转化医学研究</w:t>
            </w:r>
          </w:p>
        </w:tc>
      </w:tr>
      <w:tr>
        <w:tblPrEx>
          <w:tblCellMar>
            <w:top w:w="0" w:type="dxa"/>
            <w:left w:w="108" w:type="dxa"/>
            <w:bottom w:w="0" w:type="dxa"/>
            <w:right w:w="108" w:type="dxa"/>
          </w:tblCellMar>
        </w:tblPrEx>
        <w:trPr>
          <w:trHeight w:val="849"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EZH1/2选择性抑制剂HH2853在实体瘤模型中的体内外抗肿瘤疗效和抗肿瘤敏感生物标志物的探索研究</w:t>
            </w:r>
          </w:p>
        </w:tc>
      </w:tr>
      <w:tr>
        <w:tblPrEx>
          <w:tblCellMar>
            <w:top w:w="0" w:type="dxa"/>
            <w:left w:w="108" w:type="dxa"/>
            <w:bottom w:w="0" w:type="dxa"/>
            <w:right w:w="108" w:type="dxa"/>
          </w:tblCellMar>
        </w:tblPrEx>
        <w:trPr>
          <w:trHeight w:val="849" w:hRule="atLeast"/>
        </w:trPr>
        <w:tc>
          <w:tcPr>
            <w:tcW w:w="847"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15:05-15:25</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上海坤爱生物科技股份有限公司</w:t>
            </w: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牙髓来源干细胞重编程 HLA 配型 iPSCs细胞</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自我复制、增殖和分化等调控机制及</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iPS细胞体外定向诱导分化机制研究</w:t>
            </w:r>
          </w:p>
        </w:tc>
      </w:tr>
      <w:tr>
        <w:tblPrEx>
          <w:shd w:val="clear" w:color="auto" w:fill="auto"/>
          <w:tblCellMar>
            <w:top w:w="0" w:type="dxa"/>
            <w:left w:w="108" w:type="dxa"/>
            <w:bottom w:w="0" w:type="dxa"/>
            <w:right w:w="108" w:type="dxa"/>
          </w:tblCellMar>
        </w:tblPrEx>
        <w:trPr>
          <w:trHeight w:val="566" w:hRule="atLeast"/>
        </w:trPr>
        <w:tc>
          <w:tcPr>
            <w:tcW w:w="847"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胎盘羊膜&amp;脐带细胞外基质(ECM)</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三类医疗器械产品的药效、安全性研究</w:t>
            </w:r>
          </w:p>
        </w:tc>
      </w:tr>
      <w:tr>
        <w:tblPrEx>
          <w:shd w:val="clear" w:color="auto" w:fill="auto"/>
          <w:tblCellMar>
            <w:top w:w="0" w:type="dxa"/>
            <w:left w:w="108" w:type="dxa"/>
            <w:bottom w:w="0" w:type="dxa"/>
            <w:right w:w="108" w:type="dxa"/>
          </w:tblCellMar>
        </w:tblPrEx>
        <w:trPr>
          <w:trHeight w:val="849" w:hRule="atLeast"/>
        </w:trPr>
        <w:tc>
          <w:tcPr>
            <w:tcW w:w="847" w:type="dxa"/>
            <w:vMerge w:val="continue"/>
            <w:tcBorders>
              <w:top w:val="single" w:color="000000" w:sz="4" w:space="0"/>
              <w:left w:val="single" w:color="auto"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1438"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2057"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2"/>
                <w:szCs w:val="22"/>
                <w:u w:val="none"/>
              </w:rPr>
            </w:pPr>
          </w:p>
        </w:tc>
        <w:tc>
          <w:tcPr>
            <w:tcW w:w="528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尿液来源干细胞重编程 HLA 配型 iPSCs 细胞</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自我复制、增殖和分化等调控机制及</w:t>
            </w:r>
          </w:p>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iPS细胞体外定向诱导分化机制研究</w:t>
            </w:r>
          </w:p>
        </w:tc>
      </w:tr>
      <w:tr>
        <w:tblPrEx>
          <w:shd w:val="clear" w:color="auto" w:fill="auto"/>
          <w:tblCellMar>
            <w:top w:w="0" w:type="dxa"/>
            <w:left w:w="108" w:type="dxa"/>
            <w:bottom w:w="0" w:type="dxa"/>
            <w:right w:w="108" w:type="dxa"/>
          </w:tblCellMar>
        </w:tblPrEx>
        <w:trPr>
          <w:trHeight w:val="283" w:hRule="atLeast"/>
        </w:trPr>
        <w:tc>
          <w:tcPr>
            <w:tcW w:w="84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143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15:25-15:40</w:t>
            </w:r>
          </w:p>
        </w:tc>
        <w:tc>
          <w:tcPr>
            <w:tcW w:w="205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上海南方模式生物科技股份有限公司</w:t>
            </w:r>
          </w:p>
        </w:tc>
        <w:tc>
          <w:tcPr>
            <w:tcW w:w="528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新型人源化动物模型开发和应用研究</w:t>
            </w:r>
          </w:p>
        </w:tc>
      </w:tr>
      <w:tr>
        <w:tblPrEx>
          <w:tblCellMar>
            <w:top w:w="0" w:type="dxa"/>
            <w:left w:w="108" w:type="dxa"/>
            <w:bottom w:w="0" w:type="dxa"/>
            <w:right w:w="108" w:type="dxa"/>
          </w:tblCellMar>
        </w:tblPrEx>
        <w:trPr>
          <w:trHeight w:val="566"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15:40-15:55</w:t>
            </w:r>
          </w:p>
        </w:tc>
        <w:tc>
          <w:tcPr>
            <w:tcW w:w="2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上海原天生物科技有限公司</w:t>
            </w:r>
          </w:p>
        </w:tc>
        <w:tc>
          <w:tcPr>
            <w:tcW w:w="5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研究条件诱导型外泌体的制备及促创面修复作用</w:t>
            </w:r>
          </w:p>
        </w:tc>
      </w:tr>
      <w:bookmarkEnd w:id="2"/>
    </w:tbl>
    <w:p>
      <w:pPr>
        <w:numPr>
          <w:ilvl w:val="0"/>
          <w:numId w:val="0"/>
        </w:numPr>
        <w:spacing w:before="93" w:beforeLines="30" w:line="540" w:lineRule="exact"/>
        <w:ind w:leftChars="0"/>
        <w:rPr>
          <w:rFonts w:hint="eastAsia" w:ascii="仿宋" w:hAnsi="仿宋" w:eastAsia="仿宋" w:cs="仿宋"/>
          <w:b/>
          <w:bCs/>
          <w:sz w:val="28"/>
          <w:szCs w:val="28"/>
        </w:rPr>
      </w:pP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669FB"/>
    <w:multiLevelType w:val="singleLevel"/>
    <w:tmpl w:val="C80669FB"/>
    <w:lvl w:ilvl="0" w:tentative="0">
      <w:start w:val="1"/>
      <w:numFmt w:val="chi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yNWQ5NmMzNzFkZTcwZWM1NWNlMDdjOWY3ODY1ZTcifQ=="/>
  </w:docVars>
  <w:rsids>
    <w:rsidRoot w:val="2C3C79F6"/>
    <w:rsid w:val="000D779E"/>
    <w:rsid w:val="001C0E41"/>
    <w:rsid w:val="001F1C6D"/>
    <w:rsid w:val="00276662"/>
    <w:rsid w:val="004A2EA2"/>
    <w:rsid w:val="00625385"/>
    <w:rsid w:val="0067154D"/>
    <w:rsid w:val="00745DF3"/>
    <w:rsid w:val="007D04F4"/>
    <w:rsid w:val="007D3105"/>
    <w:rsid w:val="007D7A53"/>
    <w:rsid w:val="009E1376"/>
    <w:rsid w:val="00A00C08"/>
    <w:rsid w:val="00A22036"/>
    <w:rsid w:val="00B97F3F"/>
    <w:rsid w:val="00BA32CC"/>
    <w:rsid w:val="00C17182"/>
    <w:rsid w:val="00D24183"/>
    <w:rsid w:val="00D8599A"/>
    <w:rsid w:val="00DD095C"/>
    <w:rsid w:val="00E2261F"/>
    <w:rsid w:val="00E46412"/>
    <w:rsid w:val="00E86A93"/>
    <w:rsid w:val="00E92909"/>
    <w:rsid w:val="00EC1300"/>
    <w:rsid w:val="00F17DF9"/>
    <w:rsid w:val="02843E80"/>
    <w:rsid w:val="029322D5"/>
    <w:rsid w:val="04E87F95"/>
    <w:rsid w:val="05951CF7"/>
    <w:rsid w:val="06B35F23"/>
    <w:rsid w:val="090146C5"/>
    <w:rsid w:val="0A71587A"/>
    <w:rsid w:val="0B5C41CD"/>
    <w:rsid w:val="0B8B74A3"/>
    <w:rsid w:val="0F2D756C"/>
    <w:rsid w:val="106274EF"/>
    <w:rsid w:val="10675755"/>
    <w:rsid w:val="11C646FD"/>
    <w:rsid w:val="169A4929"/>
    <w:rsid w:val="18BE614D"/>
    <w:rsid w:val="1BD17444"/>
    <w:rsid w:val="1C744B38"/>
    <w:rsid w:val="1F56679C"/>
    <w:rsid w:val="20855784"/>
    <w:rsid w:val="20D70FE6"/>
    <w:rsid w:val="214E3C8E"/>
    <w:rsid w:val="21A508CA"/>
    <w:rsid w:val="222C11FF"/>
    <w:rsid w:val="244F0AEB"/>
    <w:rsid w:val="25781C45"/>
    <w:rsid w:val="25CC5BB2"/>
    <w:rsid w:val="26502390"/>
    <w:rsid w:val="2C3C79F6"/>
    <w:rsid w:val="2CF57BF5"/>
    <w:rsid w:val="2D8B3613"/>
    <w:rsid w:val="2DA16B8B"/>
    <w:rsid w:val="2E2B796A"/>
    <w:rsid w:val="30E34C87"/>
    <w:rsid w:val="33AA7CCE"/>
    <w:rsid w:val="34AC609B"/>
    <w:rsid w:val="35744813"/>
    <w:rsid w:val="35AA386B"/>
    <w:rsid w:val="3AD11CED"/>
    <w:rsid w:val="3C2663A4"/>
    <w:rsid w:val="3D597924"/>
    <w:rsid w:val="3DC87608"/>
    <w:rsid w:val="3F5F0052"/>
    <w:rsid w:val="401A325D"/>
    <w:rsid w:val="42087A9A"/>
    <w:rsid w:val="46841EB6"/>
    <w:rsid w:val="47DE215A"/>
    <w:rsid w:val="487A259F"/>
    <w:rsid w:val="48F725B5"/>
    <w:rsid w:val="497558E9"/>
    <w:rsid w:val="4AF43C41"/>
    <w:rsid w:val="4B5B286B"/>
    <w:rsid w:val="4BEB6533"/>
    <w:rsid w:val="4DB6721E"/>
    <w:rsid w:val="4E2C4C63"/>
    <w:rsid w:val="537A2677"/>
    <w:rsid w:val="5B4D4CDD"/>
    <w:rsid w:val="5B67758D"/>
    <w:rsid w:val="5D301FF8"/>
    <w:rsid w:val="5F497D19"/>
    <w:rsid w:val="5FB70A1C"/>
    <w:rsid w:val="5FC4308D"/>
    <w:rsid w:val="61034DB6"/>
    <w:rsid w:val="62F7224E"/>
    <w:rsid w:val="635F7193"/>
    <w:rsid w:val="63A81FDE"/>
    <w:rsid w:val="644A1BF1"/>
    <w:rsid w:val="66434B4A"/>
    <w:rsid w:val="667E151E"/>
    <w:rsid w:val="676B07FC"/>
    <w:rsid w:val="68CC1C5B"/>
    <w:rsid w:val="6A5902B8"/>
    <w:rsid w:val="6B735ED1"/>
    <w:rsid w:val="6D5716B3"/>
    <w:rsid w:val="6EA30220"/>
    <w:rsid w:val="6F1A7A12"/>
    <w:rsid w:val="70DD78E2"/>
    <w:rsid w:val="71351F82"/>
    <w:rsid w:val="74CE4179"/>
    <w:rsid w:val="76EC2FDC"/>
    <w:rsid w:val="788B4AA7"/>
    <w:rsid w:val="79CC7E7E"/>
    <w:rsid w:val="7C3412EF"/>
    <w:rsid w:val="7DA602C4"/>
    <w:rsid w:val="7E390D97"/>
    <w:rsid w:val="7E9E34F7"/>
    <w:rsid w:val="7FB71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0"/>
    <w:rPr>
      <w:i/>
    </w:rPr>
  </w:style>
  <w:style w:type="paragraph" w:styleId="8">
    <w:name w:val="List Paragraph"/>
    <w:basedOn w:val="1"/>
    <w:qFormat/>
    <w:uiPriority w:val="99"/>
    <w:pPr>
      <w:ind w:firstLine="420" w:firstLineChars="200"/>
    </w:pPr>
  </w:style>
  <w:style w:type="character" w:customStyle="1" w:styleId="9">
    <w:name w:val="font21"/>
    <w:basedOn w:val="6"/>
    <w:qFormat/>
    <w:uiPriority w:val="0"/>
    <w:rPr>
      <w:rFonts w:hint="eastAsia" w:ascii="仿宋" w:hAnsi="仿宋" w:eastAsia="仿宋" w:cs="仿宋"/>
      <w:color w:val="000000"/>
      <w:sz w:val="22"/>
      <w:szCs w:val="22"/>
      <w:u w:val="none"/>
    </w:rPr>
  </w:style>
  <w:style w:type="character" w:customStyle="1" w:styleId="10">
    <w:name w:val="font31"/>
    <w:basedOn w:val="6"/>
    <w:qFormat/>
    <w:uiPriority w:val="0"/>
    <w:rPr>
      <w:rFonts w:hint="eastAsia" w:ascii="仿宋" w:hAnsi="仿宋" w:eastAsia="仿宋" w:cs="仿宋"/>
      <w:color w:val="000000"/>
      <w:sz w:val="22"/>
      <w:szCs w:val="22"/>
      <w:u w:val="none"/>
    </w:rPr>
  </w:style>
  <w:style w:type="character" w:customStyle="1" w:styleId="11">
    <w:name w:val="页眉 字符"/>
    <w:basedOn w:val="6"/>
    <w:link w:val="4"/>
    <w:qFormat/>
    <w:uiPriority w:val="0"/>
    <w:rPr>
      <w:rFonts w:asciiTheme="minorHAnsi" w:hAnsiTheme="minorHAnsi" w:eastAsiaTheme="minorEastAsia" w:cstheme="minorBidi"/>
      <w:kern w:val="2"/>
      <w:sz w:val="18"/>
      <w:szCs w:val="18"/>
    </w:rPr>
  </w:style>
  <w:style w:type="character" w:customStyle="1" w:styleId="12">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818C19-2F39-4CAF-A904-7A143B6887AD}">
  <ds:schemaRefs/>
</ds:datastoreItem>
</file>

<file path=docProps/app.xml><?xml version="1.0" encoding="utf-8"?>
<Properties xmlns="http://schemas.openxmlformats.org/officeDocument/2006/extended-properties" xmlns:vt="http://schemas.openxmlformats.org/officeDocument/2006/docPropsVTypes">
  <Template>Normal</Template>
  <Pages>4</Pages>
  <Words>305</Words>
  <Characters>1742</Characters>
  <Lines>14</Lines>
  <Paragraphs>4</Paragraphs>
  <TotalTime>0</TotalTime>
  <ScaleCrop>false</ScaleCrop>
  <LinksUpToDate>false</LinksUpToDate>
  <CharactersWithSpaces>2043</CharactersWithSpaces>
  <Application>WPS Office_11.1.0.10358_F1E327BC-269C-435d-A152-05C5408002CA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2021-10-14T07:40:00Z</dcterms:created>
  <dc:creator>潘雪琦</dc:creator>
  <cp:lastModifiedBy>Joyce</cp:lastModifiedBy>
  <cp:lastPrinted>2022-08-01T01:34:00Z</cp:lastPrinted>
  <dcterms:modified xsi:type="dcterms:W3CDTF">2022-08-15T01:56:07Z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2052-11.1.0.10358</vt:lpwstr>
  </property>
  <property fmtid="{D5CDD505-2E9C-101B-9397-08002B2CF9AE}" pid="3" name="ICV">
    <vt:lpwstr>925C5DA1E67341C785F8CD1C776F9739</vt:lpwstr>
  </property>
</Properties>
</file>